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998224" w14:textId="24A49C97" w:rsidR="006D2A03" w:rsidRDefault="005E3887">
      <w:pPr>
        <w:pStyle w:val="Title"/>
        <w:spacing w:after="120" w:line="271" w:lineRule="auto"/>
        <w:jc w:val="center"/>
      </w:pPr>
      <w:r>
        <w:t>Carbon Reduction Plan</w:t>
      </w:r>
    </w:p>
    <w:p w14:paraId="77225745" w14:textId="2FC52904" w:rsidR="006D2A03" w:rsidRDefault="005E3887">
      <w:pPr>
        <w:pStyle w:val="Standard"/>
        <w:spacing w:after="120" w:line="271" w:lineRule="auto"/>
        <w:jc w:val="both"/>
      </w:pPr>
      <w:r>
        <w:rPr>
          <w:sz w:val="28"/>
          <w:szCs w:val="28"/>
        </w:rPr>
        <w:t>Supplier name:</w:t>
      </w:r>
      <w:r>
        <w:t xml:space="preserve"> </w:t>
      </w:r>
      <w:r w:rsidR="00BA2959">
        <w:t>Independence Products Ltd</w:t>
      </w:r>
    </w:p>
    <w:p w14:paraId="7B7AFB1B" w14:textId="008266D8" w:rsidR="006D2A03" w:rsidRDefault="005E3887">
      <w:pPr>
        <w:pStyle w:val="Standard"/>
        <w:spacing w:after="120" w:line="271" w:lineRule="auto"/>
        <w:jc w:val="both"/>
      </w:pPr>
      <w:r>
        <w:rPr>
          <w:sz w:val="28"/>
          <w:szCs w:val="28"/>
        </w:rPr>
        <w:t>Publication date:</w:t>
      </w:r>
      <w:r>
        <w:t xml:space="preserve"> </w:t>
      </w:r>
      <w:r w:rsidR="00BA2959">
        <w:t>27/3/2026</w:t>
      </w:r>
    </w:p>
    <w:p w14:paraId="3800438E" w14:textId="77777777" w:rsidR="006D2A03" w:rsidRDefault="005E3887">
      <w:pPr>
        <w:pStyle w:val="Heading1"/>
        <w:spacing w:before="360" w:line="271" w:lineRule="auto"/>
        <w:jc w:val="both"/>
      </w:pPr>
      <w:bookmarkStart w:id="0" w:name="_heading=h.30j0zll"/>
      <w:bookmarkEnd w:id="0"/>
      <w:r>
        <w:rPr>
          <w:b/>
          <w:sz w:val="28"/>
          <w:szCs w:val="28"/>
        </w:rPr>
        <w:t>Commitment to achieving Net Zero</w:t>
      </w:r>
    </w:p>
    <w:p w14:paraId="7D2C6517" w14:textId="719ACDDD" w:rsidR="006D2A03" w:rsidRDefault="00667B2C">
      <w:pPr>
        <w:pStyle w:val="Heading1"/>
        <w:keepNext w:val="0"/>
        <w:keepLines w:val="0"/>
        <w:spacing w:before="0" w:line="271" w:lineRule="auto"/>
        <w:jc w:val="both"/>
      </w:pPr>
      <w:bookmarkStart w:id="1" w:name="_heading=h.1fob9te"/>
      <w:bookmarkEnd w:id="1"/>
      <w:r>
        <w:rPr>
          <w:bCs/>
          <w:sz w:val="22"/>
          <w:szCs w:val="22"/>
        </w:rPr>
        <w:t xml:space="preserve">Independence Products Ltd is </w:t>
      </w:r>
      <w:r w:rsidR="005E3887" w:rsidRPr="00BA2959">
        <w:rPr>
          <w:bCs/>
          <w:sz w:val="22"/>
          <w:szCs w:val="22"/>
        </w:rPr>
        <w:t>committed</w:t>
      </w:r>
      <w:r w:rsidR="005E3887" w:rsidRPr="00BA2959">
        <w:rPr>
          <w:sz w:val="22"/>
          <w:szCs w:val="22"/>
        </w:rPr>
        <w:t xml:space="preserve"> </w:t>
      </w:r>
      <w:r w:rsidR="005E3887">
        <w:rPr>
          <w:sz w:val="22"/>
          <w:szCs w:val="22"/>
        </w:rPr>
        <w:t>to achieving Net Zero emissions by</w:t>
      </w:r>
      <w:r>
        <w:rPr>
          <w:sz w:val="22"/>
          <w:szCs w:val="22"/>
        </w:rPr>
        <w:t xml:space="preserve"> 2050.</w:t>
      </w:r>
    </w:p>
    <w:p w14:paraId="2B2F20A3" w14:textId="77777777" w:rsidR="006D2A03" w:rsidRDefault="005E3887">
      <w:pPr>
        <w:pStyle w:val="Heading1"/>
        <w:spacing w:before="360" w:line="271" w:lineRule="auto"/>
        <w:jc w:val="both"/>
      </w:pPr>
      <w:bookmarkStart w:id="2" w:name="_heading=h.3znysh7"/>
      <w:bookmarkEnd w:id="2"/>
      <w:r>
        <w:rPr>
          <w:b/>
          <w:sz w:val="28"/>
          <w:szCs w:val="28"/>
        </w:rPr>
        <w:t>Baseline Emissions Footprint</w:t>
      </w:r>
    </w:p>
    <w:p w14:paraId="4A03DBAA" w14:textId="77777777" w:rsidR="006D2A03" w:rsidRDefault="005E3887">
      <w:pPr>
        <w:pStyle w:val="Standard"/>
      </w:pPr>
      <w:r>
        <w:t>Baseline emissions are a record of the greenhouse gases that have been produced in the past and were produced prior to the introduction of any strategies to reduce emissions. Baseline emissions are the reference point against which emissions reduction can be measured.</w:t>
      </w:r>
    </w:p>
    <w:p w14:paraId="041D6D7D" w14:textId="0B2E6D6C" w:rsidR="006D2A03" w:rsidRDefault="005E3887">
      <w:pPr>
        <w:pStyle w:val="Standard"/>
      </w:pPr>
      <w:r>
        <w:t xml:space="preserve"> </w:t>
      </w:r>
    </w:p>
    <w:tbl>
      <w:tblPr>
        <w:tblW w:w="9450" w:type="dxa"/>
        <w:tblLayout w:type="fixed"/>
        <w:tblCellMar>
          <w:left w:w="10" w:type="dxa"/>
          <w:right w:w="10" w:type="dxa"/>
        </w:tblCellMar>
        <w:tblLook w:val="0000" w:firstRow="0" w:lastRow="0" w:firstColumn="0" w:lastColumn="0" w:noHBand="0" w:noVBand="0"/>
      </w:tblPr>
      <w:tblGrid>
        <w:gridCol w:w="2130"/>
        <w:gridCol w:w="7320"/>
      </w:tblGrid>
      <w:tr w:rsidR="006D2A03" w14:paraId="68BAB30A" w14:textId="77777777" w:rsidTr="00A45313">
        <w:trPr>
          <w:trHeight w:val="455"/>
        </w:trPr>
        <w:tc>
          <w:tcPr>
            <w:tcW w:w="9450"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7FE100D" w14:textId="7644F4FC" w:rsidR="006D2A03" w:rsidRDefault="005E3887">
            <w:pPr>
              <w:pStyle w:val="Standard"/>
              <w:spacing w:after="120" w:line="271" w:lineRule="auto"/>
              <w:jc w:val="both"/>
            </w:pPr>
            <w:r>
              <w:rPr>
                <w:b/>
              </w:rPr>
              <w:t xml:space="preserve">Baseline Year: </w:t>
            </w:r>
            <w:r w:rsidR="00067423">
              <w:rPr>
                <w:b/>
              </w:rPr>
              <w:t>01 Oct 2</w:t>
            </w:r>
            <w:r w:rsidR="00C268A6">
              <w:rPr>
                <w:b/>
              </w:rPr>
              <w:t>0</w:t>
            </w:r>
            <w:r w:rsidR="00067423">
              <w:rPr>
                <w:b/>
              </w:rPr>
              <w:t>23 – 30 Sep</w:t>
            </w:r>
            <w:r w:rsidR="00B84A8D">
              <w:rPr>
                <w:b/>
              </w:rPr>
              <w:t xml:space="preserve"> 2024</w:t>
            </w:r>
          </w:p>
        </w:tc>
      </w:tr>
      <w:tr w:rsidR="006D2A03" w14:paraId="2FE6C102" w14:textId="77777777" w:rsidTr="00A45313">
        <w:trPr>
          <w:trHeight w:val="455"/>
        </w:trPr>
        <w:tc>
          <w:tcPr>
            <w:tcW w:w="9450" w:type="dxa"/>
            <w:gridSpan w:val="2"/>
            <w:tcBorders>
              <w:left w:val="single" w:sz="8" w:space="0" w:color="000000"/>
              <w:bottom w:val="single" w:sz="8" w:space="0" w:color="000000"/>
              <w:right w:val="single" w:sz="8" w:space="0" w:color="000000"/>
            </w:tcBorders>
            <w:tcMar>
              <w:top w:w="100" w:type="dxa"/>
              <w:left w:w="100" w:type="dxa"/>
              <w:bottom w:w="100" w:type="dxa"/>
              <w:right w:w="100" w:type="dxa"/>
            </w:tcMar>
          </w:tcPr>
          <w:p w14:paraId="5D736B43" w14:textId="77777777" w:rsidR="006D2A03" w:rsidRDefault="005E3887">
            <w:pPr>
              <w:pStyle w:val="Standard"/>
              <w:spacing w:after="120" w:line="271" w:lineRule="auto"/>
              <w:jc w:val="both"/>
            </w:pPr>
            <w:r>
              <w:rPr>
                <w:b/>
              </w:rPr>
              <w:t>Additional Details relating to the Baseline Emissions calculations.</w:t>
            </w:r>
          </w:p>
        </w:tc>
      </w:tr>
      <w:tr w:rsidR="00A45313" w14:paraId="679D7F38" w14:textId="77777777" w:rsidTr="00A45313">
        <w:trPr>
          <w:trHeight w:val="455"/>
        </w:trPr>
        <w:tc>
          <w:tcPr>
            <w:tcW w:w="9450" w:type="dxa"/>
            <w:gridSpan w:val="2"/>
            <w:tcBorders>
              <w:left w:val="single" w:sz="8" w:space="0" w:color="000000"/>
              <w:bottom w:val="single" w:sz="8" w:space="0" w:color="000000"/>
              <w:right w:val="single" w:sz="8" w:space="0" w:color="000000"/>
            </w:tcBorders>
            <w:tcMar>
              <w:top w:w="100" w:type="dxa"/>
              <w:left w:w="100" w:type="dxa"/>
              <w:bottom w:w="100" w:type="dxa"/>
              <w:right w:w="100" w:type="dxa"/>
            </w:tcMar>
          </w:tcPr>
          <w:p w14:paraId="73A04C56" w14:textId="059958B2" w:rsidR="00A45313" w:rsidRPr="001921C8" w:rsidRDefault="00A45313">
            <w:pPr>
              <w:pStyle w:val="Standard"/>
              <w:spacing w:after="120" w:line="271" w:lineRule="auto"/>
              <w:jc w:val="both"/>
              <w:rPr>
                <w:bCs/>
              </w:rPr>
            </w:pPr>
            <w:r w:rsidRPr="001921C8">
              <w:rPr>
                <w:bCs/>
              </w:rPr>
              <w:t>The</w:t>
            </w:r>
            <w:r w:rsidR="001921C8">
              <w:rPr>
                <w:bCs/>
              </w:rPr>
              <w:t xml:space="preserve"> baseline year reflects the first year that the organisation measured its greenhouse gas emissions in line </w:t>
            </w:r>
            <w:r w:rsidR="001B099F">
              <w:rPr>
                <w:bCs/>
              </w:rPr>
              <w:t xml:space="preserve">with </w:t>
            </w:r>
            <w:r w:rsidR="001921C8">
              <w:rPr>
                <w:bCs/>
              </w:rPr>
              <w:t xml:space="preserve">the Greenhouse Gas </w:t>
            </w:r>
            <w:r w:rsidR="006E7B86">
              <w:rPr>
                <w:bCs/>
              </w:rPr>
              <w:t>Protocol</w:t>
            </w:r>
            <w:r w:rsidR="001921C8">
              <w:rPr>
                <w:bCs/>
              </w:rPr>
              <w:t xml:space="preserve">. This data continues to be used as the reference point for future carbon </w:t>
            </w:r>
            <w:r w:rsidR="00C76605">
              <w:rPr>
                <w:bCs/>
              </w:rPr>
              <w:t>reduction activities.</w:t>
            </w:r>
          </w:p>
        </w:tc>
      </w:tr>
      <w:tr w:rsidR="006D2A03" w14:paraId="5102DA4E" w14:textId="77777777" w:rsidTr="00A45313">
        <w:trPr>
          <w:trHeight w:val="455"/>
        </w:trPr>
        <w:tc>
          <w:tcPr>
            <w:tcW w:w="9450" w:type="dxa"/>
            <w:gridSpan w:val="2"/>
            <w:tcBorders>
              <w:left w:val="single" w:sz="8" w:space="0" w:color="000000"/>
              <w:bottom w:val="single" w:sz="8" w:space="0" w:color="000000"/>
              <w:right w:val="single" w:sz="8" w:space="0" w:color="000000"/>
            </w:tcBorders>
            <w:tcMar>
              <w:top w:w="100" w:type="dxa"/>
              <w:left w:w="100" w:type="dxa"/>
              <w:bottom w:w="100" w:type="dxa"/>
              <w:right w:w="100" w:type="dxa"/>
            </w:tcMar>
          </w:tcPr>
          <w:p w14:paraId="20C8C38E" w14:textId="77777777" w:rsidR="006D2A03" w:rsidRDefault="005E3887">
            <w:pPr>
              <w:pStyle w:val="Standard"/>
              <w:spacing w:after="120" w:line="271" w:lineRule="auto"/>
              <w:jc w:val="both"/>
            </w:pPr>
            <w:r>
              <w:rPr>
                <w:b/>
              </w:rPr>
              <w:t>Baseline year emissions:</w:t>
            </w:r>
          </w:p>
        </w:tc>
      </w:tr>
      <w:tr w:rsidR="006D2A03" w14:paraId="6D524C4A" w14:textId="77777777" w:rsidTr="006E7B86">
        <w:trPr>
          <w:trHeight w:val="283"/>
        </w:trPr>
        <w:tc>
          <w:tcPr>
            <w:tcW w:w="213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757DB341" w14:textId="77777777" w:rsidR="006D2A03" w:rsidRDefault="005E3887">
            <w:pPr>
              <w:pStyle w:val="Standard"/>
              <w:spacing w:after="120" w:line="271" w:lineRule="auto"/>
              <w:jc w:val="both"/>
            </w:pPr>
            <w:r>
              <w:rPr>
                <w:b/>
              </w:rPr>
              <w:t>EMISSIONS</w:t>
            </w:r>
          </w:p>
        </w:tc>
        <w:tc>
          <w:tcPr>
            <w:tcW w:w="7320" w:type="dxa"/>
            <w:tcBorders>
              <w:bottom w:val="single" w:sz="8" w:space="0" w:color="000000"/>
              <w:right w:val="single" w:sz="18" w:space="0" w:color="000000"/>
            </w:tcBorders>
            <w:tcMar>
              <w:top w:w="100" w:type="dxa"/>
              <w:left w:w="100" w:type="dxa"/>
              <w:bottom w:w="100" w:type="dxa"/>
              <w:right w:w="100" w:type="dxa"/>
            </w:tcMar>
          </w:tcPr>
          <w:p w14:paraId="7252CB68" w14:textId="77777777" w:rsidR="006D2A03" w:rsidRDefault="005E3887">
            <w:pPr>
              <w:pStyle w:val="Standard"/>
              <w:spacing w:after="120" w:line="271" w:lineRule="auto"/>
              <w:jc w:val="both"/>
            </w:pPr>
            <w:r>
              <w:rPr>
                <w:b/>
              </w:rPr>
              <w:t>TOTAL (tCO</w:t>
            </w:r>
            <w:r>
              <w:rPr>
                <w:b/>
                <w:vertAlign w:val="subscript"/>
              </w:rPr>
              <w:t>2</w:t>
            </w:r>
            <w:r>
              <w:rPr>
                <w:b/>
              </w:rPr>
              <w:t>e)</w:t>
            </w:r>
          </w:p>
        </w:tc>
      </w:tr>
      <w:tr w:rsidR="005F4C90" w14:paraId="17DBE139" w14:textId="77777777" w:rsidTr="00322EDE">
        <w:trPr>
          <w:trHeight w:val="454"/>
        </w:trPr>
        <w:tc>
          <w:tcPr>
            <w:tcW w:w="213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71D20895" w14:textId="050B7260" w:rsidR="005F4C90" w:rsidRDefault="005F4C90">
            <w:pPr>
              <w:pStyle w:val="Standard"/>
              <w:spacing w:after="120" w:line="271" w:lineRule="auto"/>
              <w:jc w:val="both"/>
              <w:rPr>
                <w:b/>
              </w:rPr>
            </w:pPr>
            <w:r>
              <w:rPr>
                <w:b/>
              </w:rPr>
              <w:t>Scope 1</w:t>
            </w:r>
          </w:p>
        </w:tc>
        <w:tc>
          <w:tcPr>
            <w:tcW w:w="7320" w:type="dxa"/>
            <w:tcBorders>
              <w:bottom w:val="single" w:sz="8" w:space="0" w:color="000000"/>
              <w:right w:val="single" w:sz="18" w:space="0" w:color="000000"/>
            </w:tcBorders>
            <w:tcMar>
              <w:top w:w="100" w:type="dxa"/>
              <w:left w:w="100" w:type="dxa"/>
              <w:bottom w:w="100" w:type="dxa"/>
              <w:right w:w="100" w:type="dxa"/>
            </w:tcMar>
          </w:tcPr>
          <w:p w14:paraId="21A025EE" w14:textId="7DDC1953" w:rsidR="005F4C90" w:rsidRDefault="005F4C90">
            <w:pPr>
              <w:pStyle w:val="Standard"/>
              <w:spacing w:after="120" w:line="271" w:lineRule="auto"/>
              <w:jc w:val="both"/>
              <w:rPr>
                <w:b/>
              </w:rPr>
            </w:pPr>
            <w:r>
              <w:rPr>
                <w:b/>
              </w:rPr>
              <w:t>49.94</w:t>
            </w:r>
          </w:p>
        </w:tc>
      </w:tr>
      <w:tr w:rsidR="005F4C90" w14:paraId="51A4D3A1" w14:textId="77777777" w:rsidTr="00322EDE">
        <w:trPr>
          <w:trHeight w:val="454"/>
        </w:trPr>
        <w:tc>
          <w:tcPr>
            <w:tcW w:w="213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45FD4519" w14:textId="6BD0B07E" w:rsidR="005F4C90" w:rsidRDefault="00322EDE">
            <w:pPr>
              <w:pStyle w:val="Standard"/>
              <w:spacing w:after="120" w:line="271" w:lineRule="auto"/>
              <w:jc w:val="both"/>
              <w:rPr>
                <w:b/>
              </w:rPr>
            </w:pPr>
            <w:r>
              <w:rPr>
                <w:b/>
              </w:rPr>
              <w:t>Scope 2</w:t>
            </w:r>
          </w:p>
        </w:tc>
        <w:tc>
          <w:tcPr>
            <w:tcW w:w="7320" w:type="dxa"/>
            <w:tcBorders>
              <w:bottom w:val="single" w:sz="8" w:space="0" w:color="000000"/>
              <w:right w:val="single" w:sz="18" w:space="0" w:color="000000"/>
            </w:tcBorders>
            <w:tcMar>
              <w:top w:w="100" w:type="dxa"/>
              <w:left w:w="100" w:type="dxa"/>
              <w:bottom w:w="100" w:type="dxa"/>
              <w:right w:w="100" w:type="dxa"/>
            </w:tcMar>
          </w:tcPr>
          <w:p w14:paraId="2050AA5F" w14:textId="3AFDF81E" w:rsidR="005F4C90" w:rsidRDefault="00322EDE">
            <w:pPr>
              <w:pStyle w:val="Standard"/>
              <w:spacing w:after="120" w:line="271" w:lineRule="auto"/>
              <w:jc w:val="both"/>
              <w:rPr>
                <w:b/>
              </w:rPr>
            </w:pPr>
            <w:r>
              <w:rPr>
                <w:b/>
              </w:rPr>
              <w:t>24.18</w:t>
            </w:r>
          </w:p>
        </w:tc>
      </w:tr>
      <w:tr w:rsidR="009A60E1" w14:paraId="684E4E1E" w14:textId="77777777" w:rsidTr="00322EDE">
        <w:trPr>
          <w:trHeight w:val="454"/>
        </w:trPr>
        <w:tc>
          <w:tcPr>
            <w:tcW w:w="213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0A6082E7" w14:textId="67E9C015" w:rsidR="009A60E1" w:rsidRDefault="00322EDE">
            <w:pPr>
              <w:pStyle w:val="Standard"/>
              <w:spacing w:after="120" w:line="271" w:lineRule="auto"/>
              <w:jc w:val="both"/>
              <w:rPr>
                <w:b/>
              </w:rPr>
            </w:pPr>
            <w:r>
              <w:rPr>
                <w:b/>
              </w:rPr>
              <w:t>Scope 3</w:t>
            </w:r>
          </w:p>
        </w:tc>
        <w:tc>
          <w:tcPr>
            <w:tcW w:w="7320" w:type="dxa"/>
            <w:tcBorders>
              <w:bottom w:val="single" w:sz="8" w:space="0" w:color="000000"/>
              <w:right w:val="single" w:sz="18" w:space="0" w:color="000000"/>
            </w:tcBorders>
            <w:tcMar>
              <w:top w:w="100" w:type="dxa"/>
              <w:left w:w="100" w:type="dxa"/>
              <w:bottom w:w="100" w:type="dxa"/>
              <w:right w:w="100" w:type="dxa"/>
            </w:tcMar>
          </w:tcPr>
          <w:p w14:paraId="2CEE56BE" w14:textId="3459CB11" w:rsidR="009A60E1" w:rsidRDefault="00052EEF" w:rsidP="00052EEF">
            <w:pPr>
              <w:pStyle w:val="Standard"/>
              <w:spacing w:line="271" w:lineRule="auto"/>
              <w:jc w:val="both"/>
              <w:rPr>
                <w:b/>
              </w:rPr>
            </w:pPr>
            <w:r>
              <w:rPr>
                <w:b/>
              </w:rPr>
              <w:t>542.69</w:t>
            </w:r>
          </w:p>
          <w:p w14:paraId="34C9DB76" w14:textId="77777777" w:rsidR="00052EEF" w:rsidRPr="00DB43BE" w:rsidRDefault="00CD51FD" w:rsidP="00052EEF">
            <w:pPr>
              <w:pStyle w:val="Standard"/>
              <w:numPr>
                <w:ilvl w:val="0"/>
                <w:numId w:val="4"/>
              </w:numPr>
              <w:spacing w:line="271" w:lineRule="auto"/>
              <w:jc w:val="both"/>
              <w:rPr>
                <w:bCs/>
              </w:rPr>
            </w:pPr>
            <w:r w:rsidRPr="00DB43BE">
              <w:rPr>
                <w:bCs/>
              </w:rPr>
              <w:t xml:space="preserve">Materials </w:t>
            </w:r>
            <w:r w:rsidR="005A0F13" w:rsidRPr="00DB43BE">
              <w:rPr>
                <w:bCs/>
              </w:rPr>
              <w:t>340.81</w:t>
            </w:r>
          </w:p>
          <w:p w14:paraId="416A4AC2" w14:textId="77777777" w:rsidR="005A0F13" w:rsidRPr="00DB43BE" w:rsidRDefault="00C405AF" w:rsidP="00052EEF">
            <w:pPr>
              <w:pStyle w:val="Standard"/>
              <w:numPr>
                <w:ilvl w:val="0"/>
                <w:numId w:val="4"/>
              </w:numPr>
              <w:spacing w:line="271" w:lineRule="auto"/>
              <w:jc w:val="both"/>
              <w:rPr>
                <w:bCs/>
              </w:rPr>
            </w:pPr>
            <w:r w:rsidRPr="00DB43BE">
              <w:rPr>
                <w:bCs/>
              </w:rPr>
              <w:t>Business Travel 32.90</w:t>
            </w:r>
          </w:p>
          <w:p w14:paraId="6D78E22F" w14:textId="77777777" w:rsidR="00C405AF" w:rsidRPr="00DB43BE" w:rsidRDefault="00E95F3D" w:rsidP="00052EEF">
            <w:pPr>
              <w:pStyle w:val="Standard"/>
              <w:numPr>
                <w:ilvl w:val="0"/>
                <w:numId w:val="4"/>
              </w:numPr>
              <w:spacing w:line="271" w:lineRule="auto"/>
              <w:jc w:val="both"/>
              <w:rPr>
                <w:bCs/>
              </w:rPr>
            </w:pPr>
            <w:r w:rsidRPr="00DB43BE">
              <w:rPr>
                <w:bCs/>
              </w:rPr>
              <w:t xml:space="preserve">Freight </w:t>
            </w:r>
            <w:r w:rsidR="00C015D4" w:rsidRPr="00DB43BE">
              <w:rPr>
                <w:bCs/>
              </w:rPr>
              <w:t>64.14</w:t>
            </w:r>
          </w:p>
          <w:p w14:paraId="102D975B" w14:textId="77777777" w:rsidR="00C015D4" w:rsidRPr="00DB43BE" w:rsidRDefault="0062171D" w:rsidP="00052EEF">
            <w:pPr>
              <w:pStyle w:val="Standard"/>
              <w:numPr>
                <w:ilvl w:val="0"/>
                <w:numId w:val="4"/>
              </w:numPr>
              <w:spacing w:line="271" w:lineRule="auto"/>
              <w:jc w:val="both"/>
              <w:rPr>
                <w:bCs/>
              </w:rPr>
            </w:pPr>
            <w:r w:rsidRPr="00DB43BE">
              <w:rPr>
                <w:bCs/>
              </w:rPr>
              <w:t xml:space="preserve">Site Consumption Related </w:t>
            </w:r>
            <w:r w:rsidR="00583375" w:rsidRPr="00DB43BE">
              <w:rPr>
                <w:bCs/>
              </w:rPr>
              <w:t>10.55</w:t>
            </w:r>
          </w:p>
          <w:p w14:paraId="005DCE67" w14:textId="77777777" w:rsidR="00583375" w:rsidRPr="00DB43BE" w:rsidRDefault="007163F4" w:rsidP="00052EEF">
            <w:pPr>
              <w:pStyle w:val="Standard"/>
              <w:numPr>
                <w:ilvl w:val="0"/>
                <w:numId w:val="4"/>
              </w:numPr>
              <w:spacing w:line="271" w:lineRule="auto"/>
              <w:jc w:val="both"/>
              <w:rPr>
                <w:bCs/>
              </w:rPr>
            </w:pPr>
            <w:r w:rsidRPr="00DB43BE">
              <w:rPr>
                <w:bCs/>
              </w:rPr>
              <w:t xml:space="preserve">Procurement </w:t>
            </w:r>
            <w:r w:rsidR="00DA3F2E" w:rsidRPr="00DB43BE">
              <w:rPr>
                <w:bCs/>
              </w:rPr>
              <w:t>34.64</w:t>
            </w:r>
          </w:p>
          <w:p w14:paraId="16C8D391" w14:textId="77777777" w:rsidR="00DA3F2E" w:rsidRPr="00DB43BE" w:rsidRDefault="00160F60" w:rsidP="00052EEF">
            <w:pPr>
              <w:pStyle w:val="Standard"/>
              <w:numPr>
                <w:ilvl w:val="0"/>
                <w:numId w:val="4"/>
              </w:numPr>
              <w:spacing w:line="271" w:lineRule="auto"/>
              <w:jc w:val="both"/>
              <w:rPr>
                <w:bCs/>
              </w:rPr>
            </w:pPr>
            <w:r w:rsidRPr="00DB43BE">
              <w:rPr>
                <w:bCs/>
              </w:rPr>
              <w:t xml:space="preserve">Supplier Site Consumption </w:t>
            </w:r>
            <w:r w:rsidR="00770006" w:rsidRPr="00DB43BE">
              <w:rPr>
                <w:bCs/>
              </w:rPr>
              <w:t>30.71</w:t>
            </w:r>
          </w:p>
          <w:p w14:paraId="338AA0F9" w14:textId="31664D22" w:rsidR="00770006" w:rsidRDefault="00451696" w:rsidP="00052EEF">
            <w:pPr>
              <w:pStyle w:val="Standard"/>
              <w:numPr>
                <w:ilvl w:val="0"/>
                <w:numId w:val="4"/>
              </w:numPr>
              <w:spacing w:line="271" w:lineRule="auto"/>
              <w:jc w:val="both"/>
              <w:rPr>
                <w:b/>
              </w:rPr>
            </w:pPr>
            <w:r w:rsidRPr="00DB43BE">
              <w:rPr>
                <w:bCs/>
              </w:rPr>
              <w:t xml:space="preserve">Employee Commuting &amp; Homeworking </w:t>
            </w:r>
            <w:r w:rsidR="00A96773" w:rsidRPr="00DB43BE">
              <w:rPr>
                <w:bCs/>
              </w:rPr>
              <w:t>28.92</w:t>
            </w:r>
          </w:p>
        </w:tc>
      </w:tr>
      <w:tr w:rsidR="006D2A03" w14:paraId="08083E25" w14:textId="77777777" w:rsidTr="00A45313">
        <w:trPr>
          <w:trHeight w:val="585"/>
        </w:trPr>
        <w:tc>
          <w:tcPr>
            <w:tcW w:w="2130" w:type="dxa"/>
            <w:tcBorders>
              <w:top w:val="single" w:sz="1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9415C73" w14:textId="77777777" w:rsidR="006D2A03" w:rsidRDefault="005E3887">
            <w:pPr>
              <w:pStyle w:val="Standard"/>
              <w:spacing w:after="120" w:line="271" w:lineRule="auto"/>
              <w:jc w:val="both"/>
            </w:pPr>
            <w:r>
              <w:rPr>
                <w:b/>
              </w:rPr>
              <w:t>Total Emissions</w:t>
            </w:r>
          </w:p>
        </w:tc>
        <w:tc>
          <w:tcPr>
            <w:tcW w:w="7320" w:type="dxa"/>
            <w:tcBorders>
              <w:top w:val="single" w:sz="18" w:space="0" w:color="000000"/>
              <w:bottom w:val="single" w:sz="8" w:space="0" w:color="000000"/>
              <w:right w:val="single" w:sz="18" w:space="0" w:color="000000"/>
            </w:tcBorders>
            <w:tcMar>
              <w:top w:w="100" w:type="dxa"/>
              <w:left w:w="100" w:type="dxa"/>
              <w:bottom w:w="100" w:type="dxa"/>
              <w:right w:w="100" w:type="dxa"/>
            </w:tcMar>
          </w:tcPr>
          <w:p w14:paraId="5B849300" w14:textId="58506B13" w:rsidR="006D2A03" w:rsidRPr="00DB43BE" w:rsidRDefault="00DB43BE">
            <w:pPr>
              <w:pStyle w:val="Standard"/>
              <w:spacing w:after="120" w:line="271" w:lineRule="auto"/>
              <w:jc w:val="both"/>
              <w:rPr>
                <w:b/>
                <w:bCs/>
              </w:rPr>
            </w:pPr>
            <w:r w:rsidRPr="00DB43BE">
              <w:rPr>
                <w:b/>
                <w:bCs/>
              </w:rPr>
              <w:t>616.80</w:t>
            </w:r>
          </w:p>
        </w:tc>
      </w:tr>
    </w:tbl>
    <w:p w14:paraId="3F44CE6F" w14:textId="77777777" w:rsidR="006D2A03" w:rsidRDefault="006D2A03">
      <w:pPr>
        <w:pStyle w:val="Standard"/>
        <w:rPr>
          <w:b/>
          <w:sz w:val="28"/>
          <w:szCs w:val="28"/>
        </w:rPr>
      </w:pPr>
    </w:p>
    <w:p w14:paraId="4DB04C9E" w14:textId="77777777" w:rsidR="006D2A03" w:rsidRDefault="006D2A03">
      <w:pPr>
        <w:pStyle w:val="Standard"/>
        <w:rPr>
          <w:b/>
          <w:sz w:val="28"/>
          <w:szCs w:val="28"/>
        </w:rPr>
      </w:pPr>
    </w:p>
    <w:p w14:paraId="660397A0" w14:textId="77777777" w:rsidR="006D2A03" w:rsidRDefault="005E3887">
      <w:pPr>
        <w:pStyle w:val="Heading1"/>
        <w:keepNext w:val="0"/>
        <w:keepLines w:val="0"/>
        <w:spacing w:before="0" w:line="271" w:lineRule="auto"/>
        <w:jc w:val="both"/>
      </w:pPr>
      <w:bookmarkStart w:id="3" w:name="_heading=h.2et92p0"/>
      <w:bookmarkEnd w:id="3"/>
      <w:r>
        <w:rPr>
          <w:b/>
          <w:sz w:val="28"/>
          <w:szCs w:val="28"/>
        </w:rPr>
        <w:t>Emissions reduction targets</w:t>
      </w:r>
    </w:p>
    <w:p w14:paraId="016A6DD7" w14:textId="7A6C29C5" w:rsidR="006D2A03" w:rsidRDefault="005E3887">
      <w:pPr>
        <w:pStyle w:val="Heading1"/>
        <w:keepNext w:val="0"/>
        <w:keepLines w:val="0"/>
        <w:spacing w:before="0" w:line="271" w:lineRule="auto"/>
        <w:jc w:val="both"/>
      </w:pPr>
      <w:bookmarkStart w:id="4" w:name="_heading=h.tyjcwt"/>
      <w:bookmarkStart w:id="5" w:name="_heading=h.4d34og8"/>
      <w:bookmarkEnd w:id="4"/>
      <w:bookmarkEnd w:id="5"/>
      <w:proofErr w:type="gramStart"/>
      <w:r>
        <w:rPr>
          <w:sz w:val="22"/>
          <w:szCs w:val="22"/>
        </w:rPr>
        <w:t>In order to</w:t>
      </w:r>
      <w:proofErr w:type="gramEnd"/>
      <w:r>
        <w:rPr>
          <w:sz w:val="22"/>
          <w:szCs w:val="22"/>
        </w:rPr>
        <w:t xml:space="preserve"> continue our progress to achieving Net Zero, we have adopted the following carbon reduction targets.</w:t>
      </w:r>
    </w:p>
    <w:p w14:paraId="6B047764" w14:textId="4B5A450A" w:rsidR="006D2A03" w:rsidRDefault="005E3887">
      <w:pPr>
        <w:pStyle w:val="Heading1"/>
        <w:keepNext w:val="0"/>
        <w:keepLines w:val="0"/>
        <w:spacing w:before="0" w:line="271" w:lineRule="auto"/>
        <w:jc w:val="both"/>
      </w:pPr>
      <w:bookmarkStart w:id="6" w:name="_heading=h.2s8eyo1"/>
      <w:bookmarkEnd w:id="6"/>
      <w:r>
        <w:rPr>
          <w:sz w:val="22"/>
          <w:szCs w:val="22"/>
        </w:rPr>
        <w:t>We project that carbon emissions will decrease over the next five years to</w:t>
      </w:r>
      <w:r w:rsidR="00EE0794">
        <w:rPr>
          <w:sz w:val="22"/>
          <w:szCs w:val="22"/>
        </w:rPr>
        <w:t xml:space="preserve"> 450 </w:t>
      </w:r>
      <w:r>
        <w:rPr>
          <w:sz w:val="22"/>
          <w:szCs w:val="22"/>
        </w:rPr>
        <w:t>tCO</w:t>
      </w:r>
      <w:r>
        <w:rPr>
          <w:sz w:val="22"/>
          <w:szCs w:val="22"/>
          <w:vertAlign w:val="subscript"/>
        </w:rPr>
        <w:t>2</w:t>
      </w:r>
      <w:r>
        <w:rPr>
          <w:sz w:val="22"/>
          <w:szCs w:val="22"/>
        </w:rPr>
        <w:t>e by 20</w:t>
      </w:r>
      <w:r w:rsidR="009A6F32">
        <w:rPr>
          <w:sz w:val="22"/>
          <w:szCs w:val="22"/>
        </w:rPr>
        <w:t>31</w:t>
      </w:r>
      <w:r>
        <w:rPr>
          <w:sz w:val="22"/>
          <w:szCs w:val="22"/>
        </w:rPr>
        <w:t>. This is a reduction of</w:t>
      </w:r>
      <w:r w:rsidR="006B24D9">
        <w:rPr>
          <w:sz w:val="22"/>
          <w:szCs w:val="22"/>
        </w:rPr>
        <w:t xml:space="preserve"> 27</w:t>
      </w:r>
      <w:r>
        <w:rPr>
          <w:sz w:val="22"/>
          <w:szCs w:val="22"/>
        </w:rPr>
        <w:t>%</w:t>
      </w:r>
      <w:r w:rsidR="006B24D9">
        <w:rPr>
          <w:sz w:val="22"/>
          <w:szCs w:val="22"/>
        </w:rPr>
        <w:t>.</w:t>
      </w:r>
      <w:bookmarkStart w:id="7" w:name="_heading=h.17dp8vu"/>
      <w:bookmarkStart w:id="8" w:name="_heading=h.3rdcrjn"/>
      <w:bookmarkStart w:id="9" w:name="_heading=h.26in1rg"/>
      <w:bookmarkStart w:id="10" w:name="_heading=h.2bn6wsx"/>
      <w:bookmarkEnd w:id="7"/>
      <w:bookmarkEnd w:id="8"/>
      <w:bookmarkEnd w:id="9"/>
      <w:bookmarkEnd w:id="10"/>
    </w:p>
    <w:p w14:paraId="1DE202AC" w14:textId="77777777" w:rsidR="006D2A03" w:rsidRDefault="005E3887">
      <w:pPr>
        <w:pStyle w:val="Heading1"/>
        <w:spacing w:before="360" w:line="247" w:lineRule="auto"/>
      </w:pPr>
      <w:bookmarkStart w:id="11" w:name="_heading=h.qsh70q"/>
      <w:bookmarkEnd w:id="11"/>
      <w:r>
        <w:rPr>
          <w:b/>
          <w:sz w:val="28"/>
          <w:szCs w:val="28"/>
        </w:rPr>
        <w:t>Carbon Reduction Projects</w:t>
      </w:r>
    </w:p>
    <w:p w14:paraId="1CDAC2BB" w14:textId="2CA4E370" w:rsidR="00AC234B" w:rsidRPr="00AC234B" w:rsidRDefault="00C629AE">
      <w:pPr>
        <w:pStyle w:val="Heading3"/>
        <w:spacing w:line="247" w:lineRule="auto"/>
        <w:rPr>
          <w:sz w:val="22"/>
          <w:szCs w:val="22"/>
        </w:rPr>
      </w:pPr>
      <w:bookmarkStart w:id="12" w:name="_heading=h.3as4poj"/>
      <w:bookmarkEnd w:id="12"/>
      <w:r>
        <w:rPr>
          <w:sz w:val="22"/>
          <w:szCs w:val="22"/>
        </w:rPr>
        <w:t xml:space="preserve">Because this is the first year of </w:t>
      </w:r>
      <w:r w:rsidR="003B2461">
        <w:rPr>
          <w:sz w:val="22"/>
          <w:szCs w:val="22"/>
        </w:rPr>
        <w:t>carbon</w:t>
      </w:r>
      <w:r>
        <w:rPr>
          <w:sz w:val="22"/>
          <w:szCs w:val="22"/>
        </w:rPr>
        <w:t xml:space="preserve"> reporting, </w:t>
      </w:r>
      <w:r w:rsidR="003B2461">
        <w:rPr>
          <w:sz w:val="22"/>
          <w:szCs w:val="22"/>
        </w:rPr>
        <w:t>baseline emissions</w:t>
      </w:r>
      <w:r>
        <w:rPr>
          <w:sz w:val="22"/>
          <w:szCs w:val="22"/>
        </w:rPr>
        <w:t xml:space="preserve"> also represent the org</w:t>
      </w:r>
      <w:r w:rsidR="003B2461">
        <w:rPr>
          <w:sz w:val="22"/>
          <w:szCs w:val="22"/>
        </w:rPr>
        <w:t>an</w:t>
      </w:r>
      <w:r>
        <w:rPr>
          <w:sz w:val="22"/>
          <w:szCs w:val="22"/>
        </w:rPr>
        <w:t>isation’s current emissions. The fol</w:t>
      </w:r>
      <w:r w:rsidR="003B2461">
        <w:rPr>
          <w:sz w:val="22"/>
          <w:szCs w:val="22"/>
        </w:rPr>
        <w:t>lowing initiatives are already in place or planned to reduce emissions moving forward.</w:t>
      </w:r>
    </w:p>
    <w:p w14:paraId="028D3E61" w14:textId="0ED273EC" w:rsidR="006D2A03" w:rsidRDefault="005E3887">
      <w:pPr>
        <w:pStyle w:val="Heading3"/>
        <w:spacing w:line="247" w:lineRule="auto"/>
      </w:pPr>
      <w:r>
        <w:t>Initiatives</w:t>
      </w:r>
      <w:r w:rsidR="004A04B2">
        <w:t xml:space="preserve"> Already Implemented</w:t>
      </w:r>
      <w:r w:rsidR="00BA2636">
        <w:t xml:space="preserve"> since the 2024 baseline</w:t>
      </w:r>
    </w:p>
    <w:p w14:paraId="38F5371D" w14:textId="5D3E0A80" w:rsidR="00235A81" w:rsidRDefault="00BA2636" w:rsidP="00BA2636">
      <w:pPr>
        <w:pStyle w:val="ListParagraph"/>
        <w:numPr>
          <w:ilvl w:val="0"/>
          <w:numId w:val="7"/>
        </w:numPr>
        <w:spacing w:after="120"/>
        <w:ind w:left="714" w:hanging="357"/>
        <w:contextualSpacing w:val="0"/>
      </w:pPr>
      <w:r>
        <w:t xml:space="preserve">Energy efficiency: </w:t>
      </w:r>
      <w:r w:rsidR="00CC5400">
        <w:t xml:space="preserve">moved manufacturing site </w:t>
      </w:r>
      <w:r w:rsidR="006C0849">
        <w:t xml:space="preserve">from an </w:t>
      </w:r>
      <w:r w:rsidR="004E25B2">
        <w:t xml:space="preserve">aging building </w:t>
      </w:r>
      <w:r w:rsidR="00CC5400">
        <w:t xml:space="preserve">to a </w:t>
      </w:r>
      <w:proofErr w:type="spellStart"/>
      <w:r w:rsidR="00CC5400">
        <w:t>Breeam</w:t>
      </w:r>
      <w:proofErr w:type="spellEnd"/>
      <w:r w:rsidR="00CC5400">
        <w:t xml:space="preserve"> Excellent rated building with </w:t>
      </w:r>
      <w:r w:rsidR="00235A81">
        <w:t>solar panels</w:t>
      </w:r>
      <w:r w:rsidR="009E23E0">
        <w:t>,</w:t>
      </w:r>
      <w:r w:rsidR="00235A81">
        <w:t xml:space="preserve"> </w:t>
      </w:r>
      <w:r w:rsidR="009E23E0">
        <w:t xml:space="preserve">air-source heat pumps and </w:t>
      </w:r>
      <w:r w:rsidR="00235A81">
        <w:t>LED lighting, reducing electricity consumption.</w:t>
      </w:r>
    </w:p>
    <w:p w14:paraId="77214D17" w14:textId="2E17F7C2" w:rsidR="00B808FD" w:rsidRDefault="00B808FD" w:rsidP="00B808FD">
      <w:pPr>
        <w:pStyle w:val="ListParagraph"/>
        <w:numPr>
          <w:ilvl w:val="0"/>
          <w:numId w:val="7"/>
        </w:numPr>
        <w:spacing w:after="120"/>
        <w:ind w:left="714" w:hanging="357"/>
        <w:contextualSpacing w:val="0"/>
      </w:pPr>
      <w:r>
        <w:t>Energy efficiency: decommissioned the use of a chill</w:t>
      </w:r>
      <w:r w:rsidR="002A5D4F">
        <w:t>er</w:t>
      </w:r>
      <w:r>
        <w:t xml:space="preserve"> unit that had a high electricity consumption.</w:t>
      </w:r>
    </w:p>
    <w:p w14:paraId="74BFA4C7" w14:textId="71681ED0" w:rsidR="00B808FD" w:rsidRDefault="002A5D4F" w:rsidP="00BA2636">
      <w:pPr>
        <w:pStyle w:val="ListParagraph"/>
        <w:numPr>
          <w:ilvl w:val="0"/>
          <w:numId w:val="7"/>
        </w:numPr>
        <w:spacing w:after="120"/>
        <w:ind w:left="714" w:hanging="357"/>
        <w:contextualSpacing w:val="0"/>
      </w:pPr>
      <w:r>
        <w:t xml:space="preserve">Energy efficiency: introduced </w:t>
      </w:r>
      <w:r w:rsidR="009B38CE">
        <w:t>energy monitoring devices on all welding machines.</w:t>
      </w:r>
    </w:p>
    <w:p w14:paraId="1EE6CA01" w14:textId="50878E73" w:rsidR="00BA2636" w:rsidRDefault="00BA2636" w:rsidP="00BA2636">
      <w:pPr>
        <w:pStyle w:val="ListParagraph"/>
        <w:numPr>
          <w:ilvl w:val="0"/>
          <w:numId w:val="7"/>
        </w:numPr>
        <w:spacing w:after="120"/>
        <w:ind w:left="714" w:hanging="357"/>
        <w:contextualSpacing w:val="0"/>
      </w:pPr>
      <w:r>
        <w:t>Renewable electricity: increase</w:t>
      </w:r>
      <w:r w:rsidR="005F4CE9">
        <w:t>d</w:t>
      </w:r>
      <w:r>
        <w:t xml:space="preserve"> the share of certified renewable electricity via green tariffs or REGO-backed PPAs.</w:t>
      </w:r>
    </w:p>
    <w:p w14:paraId="35D9FC75" w14:textId="0D8A34B9" w:rsidR="00BA2636" w:rsidRDefault="00BA2636" w:rsidP="00BA2636">
      <w:pPr>
        <w:pStyle w:val="ListParagraph"/>
        <w:numPr>
          <w:ilvl w:val="0"/>
          <w:numId w:val="7"/>
        </w:numPr>
        <w:spacing w:after="120"/>
        <w:ind w:left="714" w:hanging="357"/>
        <w:contextualSpacing w:val="0"/>
      </w:pPr>
      <w:r>
        <w:t xml:space="preserve">Business travel: </w:t>
      </w:r>
      <w:r w:rsidR="00595962">
        <w:t>promot</w:t>
      </w:r>
      <w:r w:rsidR="009B4E9A">
        <w:t>ing</w:t>
      </w:r>
      <w:r>
        <w:t xml:space="preserve"> virtual meetings</w:t>
      </w:r>
      <w:r w:rsidR="00595962">
        <w:t xml:space="preserve"> in place of travelling.</w:t>
      </w:r>
    </w:p>
    <w:p w14:paraId="06B6D9BE" w14:textId="62F1DCB4" w:rsidR="00BA2636" w:rsidRDefault="00BA2636" w:rsidP="00BA2636">
      <w:pPr>
        <w:pStyle w:val="ListParagraph"/>
        <w:numPr>
          <w:ilvl w:val="0"/>
          <w:numId w:val="7"/>
        </w:numPr>
        <w:spacing w:after="120"/>
        <w:ind w:left="714" w:hanging="357"/>
        <w:contextualSpacing w:val="0"/>
      </w:pPr>
      <w:r>
        <w:t>Fleet transition: install</w:t>
      </w:r>
      <w:r w:rsidR="00B1686E">
        <w:t>ed</w:t>
      </w:r>
      <w:r>
        <w:t xml:space="preserve"> workplace </w:t>
      </w:r>
      <w:r w:rsidR="00B1686E">
        <w:t xml:space="preserve">EV </w:t>
      </w:r>
      <w:r>
        <w:t xml:space="preserve">charging </w:t>
      </w:r>
      <w:r w:rsidR="00B1686E">
        <w:t>at new HQ.</w:t>
      </w:r>
    </w:p>
    <w:p w14:paraId="10B8727D" w14:textId="1269E2BB" w:rsidR="008C162C" w:rsidRDefault="008C162C" w:rsidP="00BA2636">
      <w:pPr>
        <w:pStyle w:val="ListParagraph"/>
        <w:numPr>
          <w:ilvl w:val="0"/>
          <w:numId w:val="7"/>
        </w:numPr>
        <w:spacing w:after="120"/>
        <w:ind w:left="714" w:hanging="357"/>
        <w:contextualSpacing w:val="0"/>
      </w:pPr>
      <w:r>
        <w:t xml:space="preserve">Freight: </w:t>
      </w:r>
      <w:r w:rsidR="007D548E">
        <w:t xml:space="preserve">reduced </w:t>
      </w:r>
      <w:r w:rsidR="00871ABF">
        <w:t xml:space="preserve">transport </w:t>
      </w:r>
      <w:r w:rsidR="00AE5DDB">
        <w:t xml:space="preserve">between inter-company sites by </w:t>
      </w:r>
      <w:r w:rsidR="009276C8">
        <w:t>consolidating operations in new HQ</w:t>
      </w:r>
      <w:r w:rsidR="001F43CA">
        <w:t xml:space="preserve">, resulting in 480 less pallet movements </w:t>
      </w:r>
      <w:r w:rsidR="00107557">
        <w:t>per year</w:t>
      </w:r>
      <w:r w:rsidR="003228E6">
        <w:t xml:space="preserve"> at 150 miles each.</w:t>
      </w:r>
    </w:p>
    <w:p w14:paraId="3F70E809" w14:textId="77BD7B58" w:rsidR="00BA2636" w:rsidRDefault="00BA2636" w:rsidP="00BA2636">
      <w:pPr>
        <w:pStyle w:val="ListParagraph"/>
        <w:numPr>
          <w:ilvl w:val="0"/>
          <w:numId w:val="7"/>
        </w:numPr>
        <w:spacing w:after="120"/>
        <w:ind w:left="714" w:hanging="357"/>
        <w:contextualSpacing w:val="0"/>
      </w:pPr>
      <w:r>
        <w:t>Waste and circularity: improve</w:t>
      </w:r>
      <w:r w:rsidR="00F47D0F">
        <w:t>d</w:t>
      </w:r>
      <w:r>
        <w:t xml:space="preserve"> recycling and responsible e-waste management across sites.</w:t>
      </w:r>
    </w:p>
    <w:p w14:paraId="252B544D" w14:textId="63D3275C" w:rsidR="008F59DE" w:rsidRDefault="008F59DE" w:rsidP="008F59DE">
      <w:pPr>
        <w:pStyle w:val="Heading3"/>
        <w:spacing w:line="247" w:lineRule="auto"/>
      </w:pPr>
      <w:r>
        <w:t>Planned Initiatives</w:t>
      </w:r>
    </w:p>
    <w:p w14:paraId="6DF14948" w14:textId="75EA1DFB" w:rsidR="00A840CD" w:rsidRDefault="00A840CD" w:rsidP="00FA6186">
      <w:pPr>
        <w:pStyle w:val="ListParagraph"/>
        <w:numPr>
          <w:ilvl w:val="0"/>
          <w:numId w:val="7"/>
        </w:numPr>
        <w:spacing w:after="120"/>
        <w:ind w:left="714" w:hanging="357"/>
        <w:contextualSpacing w:val="0"/>
      </w:pPr>
      <w:r>
        <w:t xml:space="preserve">Waste and circularity: </w:t>
      </w:r>
      <w:r w:rsidR="005A676C">
        <w:t>implement</w:t>
      </w:r>
      <w:r w:rsidR="00DF2C9A">
        <w:t xml:space="preserve"> a </w:t>
      </w:r>
      <w:r>
        <w:t>re</w:t>
      </w:r>
      <w:r w:rsidR="00B12413">
        <w:t xml:space="preserve">-design </w:t>
      </w:r>
      <w:r w:rsidR="005A676C">
        <w:t xml:space="preserve">of </w:t>
      </w:r>
      <w:r w:rsidR="00B12413">
        <w:t xml:space="preserve">products to reduce </w:t>
      </w:r>
      <w:r>
        <w:t xml:space="preserve">plastic </w:t>
      </w:r>
      <w:r w:rsidR="00980198">
        <w:t>content</w:t>
      </w:r>
      <w:r w:rsidR="00B12413">
        <w:t>.</w:t>
      </w:r>
    </w:p>
    <w:p w14:paraId="08E86AB6" w14:textId="2E82F162" w:rsidR="003C5632" w:rsidRDefault="003C5632" w:rsidP="00FA6186">
      <w:pPr>
        <w:pStyle w:val="ListParagraph"/>
        <w:numPr>
          <w:ilvl w:val="0"/>
          <w:numId w:val="7"/>
        </w:numPr>
        <w:spacing w:after="120"/>
        <w:ind w:left="714" w:hanging="357"/>
        <w:contextualSpacing w:val="0"/>
      </w:pPr>
      <w:r>
        <w:t xml:space="preserve">Waste and circularity: </w:t>
      </w:r>
      <w:r w:rsidR="003A1F88">
        <w:t xml:space="preserve">automate manufacturing process </w:t>
      </w:r>
      <w:r w:rsidR="000D4078">
        <w:t xml:space="preserve">to optimise usage of materials and </w:t>
      </w:r>
      <w:r w:rsidR="00CF4645">
        <w:t>reduce plastic</w:t>
      </w:r>
      <w:r w:rsidR="006857DA">
        <w:t xml:space="preserve"> consumption.</w:t>
      </w:r>
    </w:p>
    <w:p w14:paraId="1C9D515B" w14:textId="62BFAA33" w:rsidR="00FA6186" w:rsidRDefault="00FA6186" w:rsidP="00FA6186">
      <w:pPr>
        <w:pStyle w:val="ListParagraph"/>
        <w:numPr>
          <w:ilvl w:val="0"/>
          <w:numId w:val="7"/>
        </w:numPr>
        <w:spacing w:after="120"/>
        <w:ind w:left="714" w:hanging="357"/>
        <w:contextualSpacing w:val="0"/>
      </w:pPr>
      <w:r>
        <w:t xml:space="preserve">Energy efficiency: complete transition of warehousing site to consolidate all operations (manufacturing, warehousing and HQ) in the one </w:t>
      </w:r>
      <w:proofErr w:type="spellStart"/>
      <w:r>
        <w:t>Breeam</w:t>
      </w:r>
      <w:proofErr w:type="spellEnd"/>
      <w:r>
        <w:t xml:space="preserve"> Excellent rated site.</w:t>
      </w:r>
    </w:p>
    <w:p w14:paraId="69FB9717" w14:textId="1FFA814C" w:rsidR="00FA6186" w:rsidRDefault="00FA6186" w:rsidP="00FA6186">
      <w:pPr>
        <w:pStyle w:val="ListParagraph"/>
        <w:numPr>
          <w:ilvl w:val="0"/>
          <w:numId w:val="7"/>
        </w:numPr>
        <w:spacing w:after="120"/>
        <w:ind w:left="714" w:hanging="357"/>
        <w:contextualSpacing w:val="0"/>
      </w:pPr>
      <w:r>
        <w:t xml:space="preserve">Energy efficiency: introduce new automation </w:t>
      </w:r>
      <w:r w:rsidR="007B7CA5">
        <w:t xml:space="preserve">to target a </w:t>
      </w:r>
      <w:r w:rsidR="000A1A1B">
        <w:t xml:space="preserve">significant </w:t>
      </w:r>
      <w:r w:rsidR="007B7CA5">
        <w:t>reduction in electricity usage</w:t>
      </w:r>
      <w:r>
        <w:t>.</w:t>
      </w:r>
    </w:p>
    <w:p w14:paraId="74774A91" w14:textId="3515C4A9" w:rsidR="00DF5886" w:rsidRDefault="00DF5886" w:rsidP="00DF5886">
      <w:pPr>
        <w:pStyle w:val="ListParagraph"/>
        <w:numPr>
          <w:ilvl w:val="0"/>
          <w:numId w:val="7"/>
        </w:numPr>
        <w:spacing w:after="120"/>
        <w:ind w:left="714" w:hanging="357"/>
        <w:contextualSpacing w:val="0"/>
      </w:pPr>
      <w:r>
        <w:t xml:space="preserve">Heat decarbonisation: </w:t>
      </w:r>
      <w:r w:rsidR="00595962">
        <w:t>t</w:t>
      </w:r>
      <w:r>
        <w:t xml:space="preserve">ransition away from gas heating in offices </w:t>
      </w:r>
      <w:r w:rsidR="00504B7E">
        <w:t>once fully consolidated in the one site</w:t>
      </w:r>
      <w:r w:rsidR="00C95AFB">
        <w:t>, by June 2026</w:t>
      </w:r>
      <w:r>
        <w:t>.</w:t>
      </w:r>
    </w:p>
    <w:p w14:paraId="464A5463" w14:textId="36C01A21" w:rsidR="00C95AFB" w:rsidRDefault="00C95AFB" w:rsidP="00C95AFB">
      <w:pPr>
        <w:pStyle w:val="ListParagraph"/>
        <w:numPr>
          <w:ilvl w:val="0"/>
          <w:numId w:val="7"/>
        </w:numPr>
        <w:spacing w:after="120"/>
        <w:ind w:left="714" w:hanging="357"/>
        <w:contextualSpacing w:val="0"/>
      </w:pPr>
      <w:r>
        <w:t>Business travel: reduce air and car travel</w:t>
      </w:r>
      <w:r w:rsidR="00B63A69">
        <w:t xml:space="preserve"> and </w:t>
      </w:r>
      <w:r>
        <w:t>promote rail-first policy</w:t>
      </w:r>
      <w:r w:rsidR="00B63A69">
        <w:t>.</w:t>
      </w:r>
    </w:p>
    <w:p w14:paraId="6DAA6285" w14:textId="0273F16D" w:rsidR="00076BE4" w:rsidRDefault="00076BE4" w:rsidP="00076BE4">
      <w:pPr>
        <w:pStyle w:val="ListParagraph"/>
        <w:numPr>
          <w:ilvl w:val="0"/>
          <w:numId w:val="7"/>
        </w:numPr>
        <w:spacing w:after="120"/>
        <w:ind w:left="714" w:hanging="357"/>
        <w:contextualSpacing w:val="0"/>
      </w:pPr>
      <w:r>
        <w:t>Fleet transition: where vehicles are operated, switch to EVs/hybrids.</w:t>
      </w:r>
    </w:p>
    <w:p w14:paraId="025760D0" w14:textId="77777777" w:rsidR="00F47D0F" w:rsidRDefault="00F47D0F" w:rsidP="00F47D0F">
      <w:pPr>
        <w:pStyle w:val="ListParagraph"/>
        <w:numPr>
          <w:ilvl w:val="0"/>
          <w:numId w:val="7"/>
        </w:numPr>
        <w:spacing w:after="120"/>
        <w:ind w:left="714" w:hanging="357"/>
        <w:contextualSpacing w:val="0"/>
      </w:pPr>
      <w:r>
        <w:lastRenderedPageBreak/>
        <w:t>Supply chain engagement: work with key suppliers in categories 1, 3, 4, 6, 7, and 9 to gather primary data and co-develop reductions.</w:t>
      </w:r>
    </w:p>
    <w:p w14:paraId="47A733B4" w14:textId="77777777" w:rsidR="00DF5886" w:rsidRDefault="00DF5886" w:rsidP="008F59DE">
      <w:pPr>
        <w:pStyle w:val="Standard"/>
        <w:spacing w:after="140" w:line="271" w:lineRule="auto"/>
      </w:pPr>
    </w:p>
    <w:p w14:paraId="5CAF474A" w14:textId="77777777" w:rsidR="006D2A03" w:rsidRDefault="005E3887">
      <w:pPr>
        <w:pStyle w:val="Heading1"/>
        <w:spacing w:before="360" w:line="247" w:lineRule="auto"/>
      </w:pPr>
      <w:bookmarkStart w:id="13" w:name="_heading=h.49x2ik5"/>
      <w:bookmarkEnd w:id="13"/>
      <w:r>
        <w:rPr>
          <w:b/>
          <w:sz w:val="28"/>
          <w:szCs w:val="28"/>
        </w:rPr>
        <w:t>Declaration and Sign Off</w:t>
      </w:r>
    </w:p>
    <w:p w14:paraId="4B4ED951" w14:textId="77777777" w:rsidR="006D2A03" w:rsidRDefault="005E3887">
      <w:pPr>
        <w:pStyle w:val="Standard"/>
        <w:spacing w:after="300" w:line="247" w:lineRule="auto"/>
      </w:pPr>
      <w:r>
        <w:t>This Carbon Reduction Plan has been completed in accordance with PPN 06/21 and associated guidance and reporting standard for Carbon Reduction Plans.</w:t>
      </w:r>
    </w:p>
    <w:p w14:paraId="2AF3E6CC" w14:textId="77777777" w:rsidR="006D2A03" w:rsidRDefault="005E3887">
      <w:pPr>
        <w:pStyle w:val="Standard"/>
        <w:spacing w:after="300" w:line="247" w:lineRule="auto"/>
      </w:pPr>
      <w:r>
        <w:t>Emissions have been reported and recorded in accordance with</w:t>
      </w:r>
      <w:r>
        <w:rPr>
          <w:color w:val="0B0C0C"/>
        </w:rPr>
        <w:t xml:space="preserve"> the published reporting standard for Carbon Reduction Plans and the </w:t>
      </w:r>
      <w:r>
        <w:rPr>
          <w:color w:val="000000"/>
        </w:rPr>
        <w:t>GHG Reporting Protocol corporate standard</w:t>
      </w:r>
      <w:r>
        <w:rPr>
          <w:rStyle w:val="FootnoteReference"/>
          <w:color w:val="000000"/>
        </w:rPr>
        <w:footnoteReference w:id="1"/>
      </w:r>
      <w:r>
        <w:rPr>
          <w:color w:val="000000"/>
        </w:rPr>
        <w:t xml:space="preserve"> </w:t>
      </w:r>
      <w:r>
        <w:rPr>
          <w:color w:val="0B0C0C"/>
        </w:rPr>
        <w:t>and uses the appropri</w:t>
      </w:r>
      <w:r>
        <w:rPr>
          <w:color w:val="000000"/>
        </w:rPr>
        <w:t xml:space="preserve">ate </w:t>
      </w:r>
      <w:hyperlink r:id="rId8" w:history="1">
        <w:r>
          <w:rPr>
            <w:color w:val="000000"/>
          </w:rPr>
          <w:t>Government emission conversion factors for greenhouse gas company reporting</w:t>
        </w:r>
      </w:hyperlink>
      <w:r>
        <w:rPr>
          <w:rStyle w:val="FootnoteReference"/>
          <w:color w:val="000000"/>
        </w:rPr>
        <w:footnoteReference w:id="2"/>
      </w:r>
      <w:r>
        <w:rPr>
          <w:color w:val="000000"/>
        </w:rPr>
        <w:t>.</w:t>
      </w:r>
    </w:p>
    <w:p w14:paraId="69E9E8F0" w14:textId="77777777" w:rsidR="006D2A03" w:rsidRDefault="005E3887">
      <w:pPr>
        <w:pStyle w:val="Standard"/>
        <w:spacing w:after="300" w:line="247" w:lineRule="auto"/>
      </w:pPr>
      <w:r>
        <w:rPr>
          <w:color w:val="0B0C0C"/>
        </w:rPr>
        <w:t xml:space="preserve">Scope 1 and Scope 2 emissions have been reported in accordance with SECR requirements, and the required subset of Scope 3 emissions have been reported in accordance with the published reporting standard for Carbon Reduction Plans and the </w:t>
      </w:r>
      <w:r>
        <w:rPr>
          <w:color w:val="000000"/>
        </w:rPr>
        <w:t>Corporate Value Chain (Scope 3) Standard</w:t>
      </w:r>
      <w:r>
        <w:rPr>
          <w:rStyle w:val="FootnoteReference"/>
          <w:color w:val="000000"/>
        </w:rPr>
        <w:footnoteReference w:id="3"/>
      </w:r>
      <w:r>
        <w:rPr>
          <w:color w:val="000000"/>
        </w:rPr>
        <w:t>.</w:t>
      </w:r>
    </w:p>
    <w:p w14:paraId="4D9A2E4E" w14:textId="77777777" w:rsidR="006D2A03" w:rsidRDefault="005E3887">
      <w:pPr>
        <w:pStyle w:val="Standard"/>
        <w:spacing w:after="300" w:line="247" w:lineRule="auto"/>
      </w:pPr>
      <w:r>
        <w:rPr>
          <w:color w:val="0B0C0C"/>
        </w:rPr>
        <w:t xml:space="preserve">This Carbon Reduction Plan has been reviewed and signed off </w:t>
      </w:r>
      <w:r>
        <w:t>by the board of directors (or equivalent management body).</w:t>
      </w:r>
    </w:p>
    <w:p w14:paraId="2EEF4E7D" w14:textId="77777777" w:rsidR="006D2A03" w:rsidRDefault="005E3887">
      <w:pPr>
        <w:pStyle w:val="Heading4"/>
        <w:spacing w:after="300" w:line="247" w:lineRule="auto"/>
      </w:pPr>
      <w:bookmarkStart w:id="14" w:name="_heading=h.2p2csry"/>
      <w:bookmarkEnd w:id="14"/>
      <w:r>
        <w:t>Signed on behalf of the Supplier:</w:t>
      </w:r>
    </w:p>
    <w:p w14:paraId="55D73590" w14:textId="77777777" w:rsidR="00C976CB" w:rsidRDefault="00C976CB">
      <w:pPr>
        <w:pStyle w:val="Standard"/>
        <w:spacing w:after="300" w:line="247" w:lineRule="auto"/>
        <w:rPr>
          <w:color w:val="0B0C0C"/>
        </w:rPr>
      </w:pPr>
    </w:p>
    <w:p w14:paraId="5A182B44" w14:textId="7C72A956" w:rsidR="00D54903" w:rsidRDefault="00D54903">
      <w:pPr>
        <w:pStyle w:val="Standard"/>
        <w:spacing w:after="300" w:line="247" w:lineRule="auto"/>
      </w:pPr>
      <w:r>
        <w:rPr>
          <w:color w:val="0B0C0C"/>
        </w:rPr>
        <w:t xml:space="preserve">Claire </w:t>
      </w:r>
      <w:proofErr w:type="spellStart"/>
      <w:r>
        <w:rPr>
          <w:color w:val="0B0C0C"/>
        </w:rPr>
        <w:t>Dubowski</w:t>
      </w:r>
      <w:proofErr w:type="spellEnd"/>
      <w:r>
        <w:rPr>
          <w:color w:val="0B0C0C"/>
        </w:rPr>
        <w:t xml:space="preserve"> (CEO)</w:t>
      </w:r>
    </w:p>
    <w:p w14:paraId="22037B36" w14:textId="38021608" w:rsidR="006D2A03" w:rsidRDefault="005E3887">
      <w:pPr>
        <w:pStyle w:val="Standard"/>
        <w:spacing w:after="300" w:line="247" w:lineRule="auto"/>
      </w:pPr>
      <w:r>
        <w:rPr>
          <w:color w:val="0B0C0C"/>
        </w:rPr>
        <w:t xml:space="preserve">Date: </w:t>
      </w:r>
      <w:r w:rsidR="0065568F">
        <w:rPr>
          <w:color w:val="0B0C0C"/>
        </w:rPr>
        <w:t>27/03/2026</w:t>
      </w:r>
    </w:p>
    <w:sectPr w:rsidR="006D2A03">
      <w:pgSz w:w="11906" w:h="16838"/>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CDD49B" w14:textId="77777777" w:rsidR="007215D1" w:rsidRDefault="007215D1">
      <w:r>
        <w:separator/>
      </w:r>
    </w:p>
  </w:endnote>
  <w:endnote w:type="continuationSeparator" w:id="0">
    <w:p w14:paraId="53733968" w14:textId="77777777" w:rsidR="007215D1" w:rsidRDefault="007215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variable"/>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ans">
    <w:charset w:val="00"/>
    <w:family w:val="swiss"/>
    <w:pitch w:val="variable"/>
  </w:font>
  <w:font w:name="Linux Libertine G">
    <w:charset w:val="00"/>
    <w:family w:val="auto"/>
    <w:pitch w:val="variable"/>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3DD377" w14:textId="77777777" w:rsidR="007215D1" w:rsidRDefault="007215D1">
      <w:r>
        <w:rPr>
          <w:color w:val="000000"/>
        </w:rPr>
        <w:separator/>
      </w:r>
    </w:p>
  </w:footnote>
  <w:footnote w:type="continuationSeparator" w:id="0">
    <w:p w14:paraId="3BA9AE71" w14:textId="77777777" w:rsidR="007215D1" w:rsidRDefault="007215D1">
      <w:r>
        <w:continuationSeparator/>
      </w:r>
    </w:p>
  </w:footnote>
  <w:footnote w:id="1">
    <w:p w14:paraId="3D0F08B9" w14:textId="7CC1464A" w:rsidR="005E3887" w:rsidRDefault="005E3887" w:rsidP="00D63451">
      <w:pPr>
        <w:pStyle w:val="Standard"/>
        <w:spacing w:line="240" w:lineRule="auto"/>
      </w:pPr>
    </w:p>
  </w:footnote>
  <w:footnote w:id="2">
    <w:p w14:paraId="0219789A" w14:textId="77777777" w:rsidR="005E3887" w:rsidRDefault="005E3887"/>
  </w:footnote>
  <w:footnote w:id="3">
    <w:p w14:paraId="425482E0" w14:textId="77777777" w:rsidR="005E3887" w:rsidRDefault="005E388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1122B"/>
    <w:multiLevelType w:val="multilevel"/>
    <w:tmpl w:val="3FAAB130"/>
    <w:styleLink w:val="WWNum1"/>
    <w:lvl w:ilvl="0">
      <w:numFmt w:val="bullet"/>
      <w:lvlText w:val="●"/>
      <w:lvlJc w:val="left"/>
      <w:pPr>
        <w:ind w:left="720" w:hanging="360"/>
      </w:pPr>
      <w:rPr>
        <w:rFonts w:ascii="Noto Sans Symbols" w:eastAsia="Noto Sans Symbols" w:hAnsi="Noto Sans Symbols" w:cs="Noto Sans Symbols"/>
        <w:b w:val="0"/>
        <w:sz w:val="22"/>
        <w:szCs w:val="20"/>
      </w:rPr>
    </w:lvl>
    <w:lvl w:ilvl="1">
      <w:numFmt w:val="bullet"/>
      <w:lvlText w:val="o"/>
      <w:lvlJc w:val="left"/>
      <w:pPr>
        <w:ind w:left="1440" w:hanging="360"/>
      </w:pPr>
      <w:rPr>
        <w:rFonts w:ascii="Courier New" w:eastAsia="Courier New" w:hAnsi="Courier New" w:cs="Courier New"/>
        <w:sz w:val="20"/>
        <w:szCs w:val="20"/>
      </w:rPr>
    </w:lvl>
    <w:lvl w:ilvl="2">
      <w:numFmt w:val="bullet"/>
      <w:lvlText w:val="▪"/>
      <w:lvlJc w:val="left"/>
      <w:pPr>
        <w:ind w:left="2160" w:hanging="360"/>
      </w:pPr>
      <w:rPr>
        <w:rFonts w:ascii="Noto Sans Symbols" w:eastAsia="Noto Sans Symbols" w:hAnsi="Noto Sans Symbols" w:cs="Noto Sans Symbols"/>
        <w:sz w:val="20"/>
        <w:szCs w:val="20"/>
      </w:rPr>
    </w:lvl>
    <w:lvl w:ilvl="3">
      <w:numFmt w:val="bullet"/>
      <w:lvlText w:val="▪"/>
      <w:lvlJc w:val="left"/>
      <w:pPr>
        <w:ind w:left="2880" w:hanging="360"/>
      </w:pPr>
      <w:rPr>
        <w:rFonts w:ascii="Noto Sans Symbols" w:eastAsia="Noto Sans Symbols" w:hAnsi="Noto Sans Symbols" w:cs="Noto Sans Symbols"/>
        <w:sz w:val="20"/>
        <w:szCs w:val="20"/>
      </w:rPr>
    </w:lvl>
    <w:lvl w:ilvl="4">
      <w:numFmt w:val="bullet"/>
      <w:lvlText w:val="▪"/>
      <w:lvlJc w:val="left"/>
      <w:pPr>
        <w:ind w:left="3600" w:hanging="360"/>
      </w:pPr>
      <w:rPr>
        <w:rFonts w:ascii="Noto Sans Symbols" w:eastAsia="Noto Sans Symbols" w:hAnsi="Noto Sans Symbols" w:cs="Noto Sans Symbols"/>
        <w:sz w:val="20"/>
        <w:szCs w:val="20"/>
      </w:rPr>
    </w:lvl>
    <w:lvl w:ilvl="5">
      <w:numFmt w:val="bullet"/>
      <w:lvlText w:val="▪"/>
      <w:lvlJc w:val="left"/>
      <w:pPr>
        <w:ind w:left="4320" w:hanging="360"/>
      </w:pPr>
      <w:rPr>
        <w:rFonts w:ascii="Noto Sans Symbols" w:eastAsia="Noto Sans Symbols" w:hAnsi="Noto Sans Symbols" w:cs="Noto Sans Symbols"/>
        <w:sz w:val="20"/>
        <w:szCs w:val="20"/>
      </w:rPr>
    </w:lvl>
    <w:lvl w:ilvl="6">
      <w:numFmt w:val="bullet"/>
      <w:lvlText w:val="▪"/>
      <w:lvlJc w:val="left"/>
      <w:pPr>
        <w:ind w:left="5040" w:hanging="360"/>
      </w:pPr>
      <w:rPr>
        <w:rFonts w:ascii="Noto Sans Symbols" w:eastAsia="Noto Sans Symbols" w:hAnsi="Noto Sans Symbols" w:cs="Noto Sans Symbols"/>
        <w:sz w:val="20"/>
        <w:szCs w:val="20"/>
      </w:rPr>
    </w:lvl>
    <w:lvl w:ilvl="7">
      <w:numFmt w:val="bullet"/>
      <w:lvlText w:val="▪"/>
      <w:lvlJc w:val="left"/>
      <w:pPr>
        <w:ind w:left="5760" w:hanging="360"/>
      </w:pPr>
      <w:rPr>
        <w:rFonts w:ascii="Noto Sans Symbols" w:eastAsia="Noto Sans Symbols" w:hAnsi="Noto Sans Symbols" w:cs="Noto Sans Symbols"/>
        <w:sz w:val="20"/>
        <w:szCs w:val="20"/>
      </w:rPr>
    </w:lvl>
    <w:lvl w:ilvl="8">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06731EC6"/>
    <w:multiLevelType w:val="hybridMultilevel"/>
    <w:tmpl w:val="10F84A46"/>
    <w:lvl w:ilvl="0" w:tplc="905C7DF2">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16C2E45"/>
    <w:multiLevelType w:val="hybridMultilevel"/>
    <w:tmpl w:val="6E202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BA63946"/>
    <w:multiLevelType w:val="multilevel"/>
    <w:tmpl w:val="EDC05D66"/>
    <w:styleLink w:val="NoList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4" w15:restartNumberingAfterBreak="0">
    <w:nsid w:val="69064F43"/>
    <w:multiLevelType w:val="hybridMultilevel"/>
    <w:tmpl w:val="0136C3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C735387"/>
    <w:multiLevelType w:val="hybridMultilevel"/>
    <w:tmpl w:val="37BEC2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57695654">
    <w:abstractNumId w:val="3"/>
  </w:num>
  <w:num w:numId="2" w16cid:durableId="21103030">
    <w:abstractNumId w:val="0"/>
  </w:num>
  <w:num w:numId="3" w16cid:durableId="1940749153">
    <w:abstractNumId w:val="0"/>
  </w:num>
  <w:num w:numId="4" w16cid:durableId="491920404">
    <w:abstractNumId w:val="4"/>
  </w:num>
  <w:num w:numId="5" w16cid:durableId="764806031">
    <w:abstractNumId w:val="2"/>
  </w:num>
  <w:num w:numId="6" w16cid:durableId="13194775">
    <w:abstractNumId w:val="5"/>
  </w:num>
  <w:num w:numId="7" w16cid:durableId="18134072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A03"/>
    <w:rsid w:val="00052EEF"/>
    <w:rsid w:val="00067423"/>
    <w:rsid w:val="00076BE4"/>
    <w:rsid w:val="0008764C"/>
    <w:rsid w:val="000A0710"/>
    <w:rsid w:val="000A1A1B"/>
    <w:rsid w:val="000B762C"/>
    <w:rsid w:val="000D4078"/>
    <w:rsid w:val="00107557"/>
    <w:rsid w:val="00160F60"/>
    <w:rsid w:val="001921C8"/>
    <w:rsid w:val="001B099F"/>
    <w:rsid w:val="001F43CA"/>
    <w:rsid w:val="00235A81"/>
    <w:rsid w:val="002A5D4F"/>
    <w:rsid w:val="003228E6"/>
    <w:rsid w:val="00322EDE"/>
    <w:rsid w:val="003A1F88"/>
    <w:rsid w:val="003B2461"/>
    <w:rsid w:val="003C5632"/>
    <w:rsid w:val="00451696"/>
    <w:rsid w:val="004A04B2"/>
    <w:rsid w:val="004E25B2"/>
    <w:rsid w:val="004E6E4F"/>
    <w:rsid w:val="00504B7E"/>
    <w:rsid w:val="00583375"/>
    <w:rsid w:val="00595962"/>
    <w:rsid w:val="0059676A"/>
    <w:rsid w:val="005A0F13"/>
    <w:rsid w:val="005A676C"/>
    <w:rsid w:val="005E3887"/>
    <w:rsid w:val="005F4C90"/>
    <w:rsid w:val="005F4CE9"/>
    <w:rsid w:val="0062171D"/>
    <w:rsid w:val="00641E59"/>
    <w:rsid w:val="0065568F"/>
    <w:rsid w:val="00667B2C"/>
    <w:rsid w:val="006857DA"/>
    <w:rsid w:val="006B24D9"/>
    <w:rsid w:val="006B45E6"/>
    <w:rsid w:val="006C0849"/>
    <w:rsid w:val="006D2A03"/>
    <w:rsid w:val="006E7B86"/>
    <w:rsid w:val="007163F4"/>
    <w:rsid w:val="00717423"/>
    <w:rsid w:val="007215D1"/>
    <w:rsid w:val="00741047"/>
    <w:rsid w:val="007551F2"/>
    <w:rsid w:val="00770006"/>
    <w:rsid w:val="007727F4"/>
    <w:rsid w:val="007826E8"/>
    <w:rsid w:val="007B7CA5"/>
    <w:rsid w:val="007D548E"/>
    <w:rsid w:val="0080710F"/>
    <w:rsid w:val="00871ABF"/>
    <w:rsid w:val="00877BC0"/>
    <w:rsid w:val="008C162C"/>
    <w:rsid w:val="008F59DE"/>
    <w:rsid w:val="009276C8"/>
    <w:rsid w:val="00980198"/>
    <w:rsid w:val="009A233A"/>
    <w:rsid w:val="009A60E1"/>
    <w:rsid w:val="009A6F32"/>
    <w:rsid w:val="009B38CE"/>
    <w:rsid w:val="009B4E9A"/>
    <w:rsid w:val="009E23E0"/>
    <w:rsid w:val="00A33CF2"/>
    <w:rsid w:val="00A45313"/>
    <w:rsid w:val="00A57D42"/>
    <w:rsid w:val="00A840CD"/>
    <w:rsid w:val="00A96773"/>
    <w:rsid w:val="00AB3210"/>
    <w:rsid w:val="00AC234B"/>
    <w:rsid w:val="00AE5DDB"/>
    <w:rsid w:val="00B12413"/>
    <w:rsid w:val="00B1686E"/>
    <w:rsid w:val="00B63A69"/>
    <w:rsid w:val="00B808FD"/>
    <w:rsid w:val="00B84A8D"/>
    <w:rsid w:val="00BA2636"/>
    <w:rsid w:val="00BA2959"/>
    <w:rsid w:val="00BE692A"/>
    <w:rsid w:val="00C015D4"/>
    <w:rsid w:val="00C268A6"/>
    <w:rsid w:val="00C405AF"/>
    <w:rsid w:val="00C52847"/>
    <w:rsid w:val="00C629AE"/>
    <w:rsid w:val="00C76605"/>
    <w:rsid w:val="00C95AFB"/>
    <w:rsid w:val="00C976CB"/>
    <w:rsid w:val="00CC5400"/>
    <w:rsid w:val="00CD51FD"/>
    <w:rsid w:val="00CE15CD"/>
    <w:rsid w:val="00CF0CBB"/>
    <w:rsid w:val="00CF4645"/>
    <w:rsid w:val="00D43507"/>
    <w:rsid w:val="00D54903"/>
    <w:rsid w:val="00D63451"/>
    <w:rsid w:val="00DA05EC"/>
    <w:rsid w:val="00DA3F2E"/>
    <w:rsid w:val="00DB43BE"/>
    <w:rsid w:val="00DF2C9A"/>
    <w:rsid w:val="00DF5886"/>
    <w:rsid w:val="00E45B34"/>
    <w:rsid w:val="00E95F3D"/>
    <w:rsid w:val="00ED189E"/>
    <w:rsid w:val="00EE0794"/>
    <w:rsid w:val="00F0299D"/>
    <w:rsid w:val="00F46565"/>
    <w:rsid w:val="00F47D0F"/>
    <w:rsid w:val="00F8174E"/>
    <w:rsid w:val="00FA61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CDF8ED"/>
  <w15:docId w15:val="{F7129F22-B58B-448C-B729-397135660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pPr>
  </w:style>
  <w:style w:type="paragraph" w:styleId="Heading1">
    <w:name w:val="heading 1"/>
    <w:basedOn w:val="Normal"/>
    <w:next w:val="Standard"/>
    <w:uiPriority w:val="9"/>
    <w:qFormat/>
    <w:pPr>
      <w:keepNext/>
      <w:keepLines/>
      <w:spacing w:before="400" w:after="120"/>
      <w:outlineLvl w:val="0"/>
    </w:pPr>
    <w:rPr>
      <w:sz w:val="40"/>
      <w:szCs w:val="40"/>
    </w:rPr>
  </w:style>
  <w:style w:type="paragraph" w:styleId="Heading2">
    <w:name w:val="heading 2"/>
    <w:basedOn w:val="Normal"/>
    <w:next w:val="Standard"/>
    <w:uiPriority w:val="9"/>
    <w:unhideWhenUsed/>
    <w:qFormat/>
    <w:pPr>
      <w:keepNext/>
      <w:keepLines/>
      <w:spacing w:before="360" w:after="120"/>
      <w:outlineLvl w:val="1"/>
    </w:pPr>
    <w:rPr>
      <w:sz w:val="32"/>
      <w:szCs w:val="32"/>
    </w:rPr>
  </w:style>
  <w:style w:type="paragraph" w:styleId="Heading3">
    <w:name w:val="heading 3"/>
    <w:basedOn w:val="Normal"/>
    <w:next w:val="Standard"/>
    <w:uiPriority w:val="9"/>
    <w:unhideWhenUsed/>
    <w:qFormat/>
    <w:pPr>
      <w:keepNext/>
      <w:keepLines/>
      <w:spacing w:before="320" w:after="80"/>
      <w:outlineLvl w:val="2"/>
    </w:pPr>
    <w:rPr>
      <w:color w:val="434343"/>
      <w:sz w:val="28"/>
      <w:szCs w:val="28"/>
    </w:rPr>
  </w:style>
  <w:style w:type="paragraph" w:styleId="Heading4">
    <w:name w:val="heading 4"/>
    <w:basedOn w:val="Normal"/>
    <w:next w:val="Standard"/>
    <w:uiPriority w:val="9"/>
    <w:unhideWhenUsed/>
    <w:qFormat/>
    <w:pPr>
      <w:keepNext/>
      <w:keepLines/>
      <w:spacing w:after="120" w:line="271" w:lineRule="auto"/>
      <w:jc w:val="both"/>
      <w:outlineLvl w:val="3"/>
    </w:pPr>
    <w:rPr>
      <w:b/>
      <w:color w:val="00488C"/>
      <w:sz w:val="24"/>
      <w:szCs w:val="24"/>
    </w:rPr>
  </w:style>
  <w:style w:type="paragraph" w:styleId="Heading5">
    <w:name w:val="heading 5"/>
    <w:basedOn w:val="Normal"/>
    <w:next w:val="Standard"/>
    <w:uiPriority w:val="9"/>
    <w:semiHidden/>
    <w:unhideWhenUsed/>
    <w:qFormat/>
    <w:pPr>
      <w:keepNext/>
      <w:keepLines/>
      <w:spacing w:before="240" w:after="80"/>
      <w:outlineLvl w:val="4"/>
    </w:pPr>
    <w:rPr>
      <w:color w:val="666666"/>
    </w:rPr>
  </w:style>
  <w:style w:type="paragraph" w:styleId="Heading6">
    <w:name w:val="heading 6"/>
    <w:basedOn w:val="Normal"/>
    <w:next w:val="Standard"/>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spacing w:line="276" w:lineRule="auto"/>
    </w:pPr>
  </w:style>
  <w:style w:type="paragraph" w:customStyle="1" w:styleId="Heading">
    <w:name w:val="Heading"/>
    <w:basedOn w:val="Standard"/>
    <w:next w:val="Textbody"/>
    <w:pPr>
      <w:keepNext/>
      <w:spacing w:before="240" w:after="120"/>
    </w:pPr>
    <w:rPr>
      <w:rFonts w:ascii="Liberation Sans" w:eastAsia="Linux Libertine G" w:hAnsi="Liberation Sans" w:cs="Linux Libertine G"/>
      <w:sz w:val="28"/>
      <w:szCs w:val="28"/>
    </w:rPr>
  </w:style>
  <w:style w:type="paragraph" w:customStyle="1" w:styleId="Textbody">
    <w:name w:val="Text body"/>
    <w:basedOn w:val="Standard"/>
    <w:pPr>
      <w:spacing w:after="140"/>
    </w:pPr>
  </w:style>
  <w:style w:type="paragraph" w:styleId="List">
    <w:name w:val="List"/>
    <w:basedOn w:val="Textbody"/>
    <w:rPr>
      <w:sz w:val="24"/>
    </w:rPr>
  </w:style>
  <w:style w:type="paragraph" w:styleId="Caption">
    <w:name w:val="caption"/>
    <w:basedOn w:val="Standard"/>
    <w:pPr>
      <w:suppressLineNumbers/>
      <w:spacing w:before="120" w:after="120"/>
    </w:pPr>
    <w:rPr>
      <w:i/>
      <w:iCs/>
      <w:sz w:val="24"/>
      <w:szCs w:val="24"/>
    </w:rPr>
  </w:style>
  <w:style w:type="paragraph" w:customStyle="1" w:styleId="Index">
    <w:name w:val="Index"/>
    <w:basedOn w:val="Standard"/>
    <w:pPr>
      <w:suppressLineNumbers/>
    </w:pPr>
    <w:rPr>
      <w:sz w:val="24"/>
    </w:rPr>
  </w:style>
  <w:style w:type="paragraph" w:styleId="Title">
    <w:name w:val="Title"/>
    <w:basedOn w:val="Normal"/>
    <w:next w:val="Standard"/>
    <w:uiPriority w:val="10"/>
    <w:qFormat/>
    <w:pPr>
      <w:keepNext/>
      <w:keepLines/>
      <w:spacing w:after="60"/>
    </w:pPr>
    <w:rPr>
      <w:sz w:val="52"/>
      <w:szCs w:val="52"/>
    </w:rPr>
  </w:style>
  <w:style w:type="paragraph" w:styleId="Subtitle">
    <w:name w:val="Subtitle"/>
    <w:basedOn w:val="Normal"/>
    <w:next w:val="Standard"/>
    <w:uiPriority w:val="11"/>
    <w:qFormat/>
    <w:pPr>
      <w:keepNext/>
      <w:keepLines/>
      <w:spacing w:after="320"/>
    </w:pPr>
    <w:rPr>
      <w:color w:val="666666"/>
      <w:sz w:val="30"/>
      <w:szCs w:val="30"/>
    </w:rPr>
  </w:style>
  <w:style w:type="paragraph" w:styleId="CommentText">
    <w:name w:val="annotation text"/>
    <w:basedOn w:val="Normal"/>
    <w:rPr>
      <w:sz w:val="20"/>
      <w:szCs w:val="20"/>
    </w:rPr>
  </w:style>
  <w:style w:type="paragraph" w:styleId="BalloonText">
    <w:name w:val="Balloon Text"/>
    <w:basedOn w:val="Normal"/>
    <w:rPr>
      <w:rFonts w:ascii="Times New Roman" w:eastAsia="Times New Roman" w:hAnsi="Times New Roman" w:cs="Times New Roman"/>
      <w:sz w:val="18"/>
      <w:szCs w:val="18"/>
    </w:rPr>
  </w:style>
  <w:style w:type="paragraph" w:customStyle="1" w:styleId="Footnote">
    <w:name w:val="Footnote"/>
    <w:basedOn w:val="Normal"/>
    <w:rPr>
      <w:sz w:val="20"/>
      <w:szCs w:val="20"/>
    </w:rPr>
  </w:style>
  <w:style w:type="paragraph" w:styleId="NormalWeb">
    <w:name w:val="Normal (Web)"/>
    <w:basedOn w:val="Normal"/>
    <w:pPr>
      <w:spacing w:before="280" w:after="280"/>
    </w:pPr>
    <w:rPr>
      <w:rFonts w:ascii="Times New Roman" w:eastAsia="Times New Roman" w:hAnsi="Times New Roman" w:cs="Times New Roman"/>
      <w:sz w:val="24"/>
      <w:szCs w:val="24"/>
      <w:lang w:eastAsia="en-GB"/>
    </w:rPr>
  </w:style>
  <w:style w:type="paragraph" w:customStyle="1" w:styleId="Framecontents">
    <w:name w:val="Frame contents"/>
    <w:basedOn w:val="Standard"/>
  </w:style>
  <w:style w:type="paragraph" w:styleId="Header">
    <w:name w:val="header"/>
    <w:basedOn w:val="Standard"/>
  </w:style>
  <w:style w:type="character" w:customStyle="1" w:styleId="CommentTextChar">
    <w:name w:val="Comment Text Char"/>
    <w:basedOn w:val="DefaultParagraphFont"/>
    <w:rPr>
      <w:sz w:val="20"/>
      <w:szCs w:val="20"/>
    </w:rPr>
  </w:style>
  <w:style w:type="character" w:styleId="CommentReference">
    <w:name w:val="annotation reference"/>
    <w:basedOn w:val="DefaultParagraphFont"/>
    <w:rPr>
      <w:sz w:val="16"/>
      <w:szCs w:val="16"/>
    </w:rPr>
  </w:style>
  <w:style w:type="character" w:customStyle="1" w:styleId="BalloonTextChar">
    <w:name w:val="Balloon Text Char"/>
    <w:basedOn w:val="DefaultParagraphFont"/>
    <w:rPr>
      <w:rFonts w:ascii="Times New Roman" w:eastAsia="Times New Roman" w:hAnsi="Times New Roman" w:cs="Times New Roman"/>
      <w:sz w:val="18"/>
      <w:szCs w:val="18"/>
    </w:rPr>
  </w:style>
  <w:style w:type="character" w:customStyle="1" w:styleId="Internetlink">
    <w:name w:val="Internet link"/>
    <w:basedOn w:val="DefaultParagraphFont"/>
    <w:rPr>
      <w:color w:val="0000FF"/>
      <w:u w:val="single"/>
    </w:rPr>
  </w:style>
  <w:style w:type="character" w:customStyle="1" w:styleId="FootnoteTextChar">
    <w:name w:val="Footnote Text Char"/>
    <w:basedOn w:val="DefaultParagraphFont"/>
    <w:rPr>
      <w:sz w:val="20"/>
      <w:szCs w:val="20"/>
    </w:rPr>
  </w:style>
  <w:style w:type="character" w:customStyle="1" w:styleId="FootnoteSymbol">
    <w:name w:val="Footnote Symbol"/>
    <w:basedOn w:val="DefaultParagraphFont"/>
    <w:rPr>
      <w:position w:val="0"/>
      <w:vertAlign w:val="superscript"/>
    </w:rPr>
  </w:style>
  <w:style w:type="character" w:customStyle="1" w:styleId="Footnoteanchor">
    <w:name w:val="Footnote anchor"/>
    <w:rPr>
      <w:position w:val="0"/>
      <w:vertAlign w:val="superscript"/>
    </w:rPr>
  </w:style>
  <w:style w:type="character" w:styleId="UnresolvedMention">
    <w:name w:val="Unresolved Mention"/>
    <w:basedOn w:val="DefaultParagraphFont"/>
    <w:rPr>
      <w:color w:val="605E5C"/>
      <w:shd w:val="clear" w:color="auto" w:fill="E1DFDD"/>
    </w:rPr>
  </w:style>
  <w:style w:type="character" w:customStyle="1" w:styleId="ListLabel1">
    <w:name w:val="ListLabel 1"/>
    <w:rPr>
      <w:rFonts w:ascii="Arial" w:eastAsia="Noto Sans Symbols" w:hAnsi="Arial" w:cs="Noto Sans Symbols"/>
      <w:b w:val="0"/>
      <w:sz w:val="22"/>
      <w:szCs w:val="20"/>
    </w:rPr>
  </w:style>
  <w:style w:type="character" w:customStyle="1" w:styleId="ListLabel2">
    <w:name w:val="ListLabel 2"/>
    <w:rPr>
      <w:rFonts w:eastAsia="Courier New" w:cs="Courier New"/>
      <w:sz w:val="20"/>
      <w:szCs w:val="20"/>
    </w:rPr>
  </w:style>
  <w:style w:type="character" w:customStyle="1" w:styleId="ListLabel3">
    <w:name w:val="ListLabel 3"/>
    <w:rPr>
      <w:rFonts w:eastAsia="Noto Sans Symbols" w:cs="Noto Sans Symbols"/>
      <w:sz w:val="20"/>
      <w:szCs w:val="20"/>
    </w:rPr>
  </w:style>
  <w:style w:type="character" w:customStyle="1" w:styleId="ListLabel4">
    <w:name w:val="ListLabel 4"/>
    <w:rPr>
      <w:rFonts w:eastAsia="Noto Sans Symbols" w:cs="Noto Sans Symbols"/>
      <w:sz w:val="20"/>
      <w:szCs w:val="20"/>
    </w:rPr>
  </w:style>
  <w:style w:type="character" w:customStyle="1" w:styleId="ListLabel5">
    <w:name w:val="ListLabel 5"/>
    <w:rPr>
      <w:rFonts w:eastAsia="Noto Sans Symbols" w:cs="Noto Sans Symbols"/>
      <w:sz w:val="20"/>
      <w:szCs w:val="20"/>
    </w:rPr>
  </w:style>
  <w:style w:type="character" w:customStyle="1" w:styleId="ListLabel6">
    <w:name w:val="ListLabel 6"/>
    <w:rPr>
      <w:rFonts w:eastAsia="Noto Sans Symbols" w:cs="Noto Sans Symbols"/>
      <w:sz w:val="20"/>
      <w:szCs w:val="20"/>
    </w:rPr>
  </w:style>
  <w:style w:type="character" w:customStyle="1" w:styleId="ListLabel7">
    <w:name w:val="ListLabel 7"/>
    <w:rPr>
      <w:rFonts w:eastAsia="Noto Sans Symbols" w:cs="Noto Sans Symbols"/>
      <w:sz w:val="20"/>
      <w:szCs w:val="20"/>
    </w:rPr>
  </w:style>
  <w:style w:type="character" w:customStyle="1" w:styleId="ListLabel8">
    <w:name w:val="ListLabel 8"/>
    <w:rPr>
      <w:rFonts w:eastAsia="Noto Sans Symbols" w:cs="Noto Sans Symbols"/>
      <w:sz w:val="20"/>
      <w:szCs w:val="20"/>
    </w:rPr>
  </w:style>
  <w:style w:type="character" w:customStyle="1" w:styleId="ListLabel9">
    <w:name w:val="ListLabel 9"/>
    <w:rPr>
      <w:rFonts w:eastAsia="Noto Sans Symbols" w:cs="Noto Sans Symbols"/>
      <w:sz w:val="20"/>
      <w:szCs w:val="20"/>
    </w:rPr>
  </w:style>
  <w:style w:type="character" w:customStyle="1" w:styleId="ListLabel10">
    <w:name w:val="ListLabel 10"/>
    <w:rPr>
      <w:color w:val="000000"/>
    </w:rPr>
  </w:style>
  <w:style w:type="numbering" w:customStyle="1" w:styleId="NoList1">
    <w:name w:val="No List_1"/>
    <w:basedOn w:val="NoList"/>
    <w:pPr>
      <w:numPr>
        <w:numId w:val="1"/>
      </w:numPr>
    </w:pPr>
  </w:style>
  <w:style w:type="numbering" w:customStyle="1" w:styleId="WWNum1">
    <w:name w:val="WWNum1"/>
    <w:basedOn w:val="NoList"/>
    <w:pPr>
      <w:numPr>
        <w:numId w:val="2"/>
      </w:numPr>
    </w:pPr>
  </w:style>
  <w:style w:type="character" w:styleId="FootnoteReference">
    <w:name w:val="footnote reference"/>
    <w:basedOn w:val="DefaultParagraphFont"/>
    <w:uiPriority w:val="99"/>
    <w:semiHidden/>
    <w:unhideWhenUsed/>
    <w:rPr>
      <w:vertAlign w:val="superscript"/>
    </w:rPr>
  </w:style>
  <w:style w:type="paragraph" w:styleId="ListParagraph">
    <w:name w:val="List Paragraph"/>
    <w:basedOn w:val="Normal"/>
    <w:uiPriority w:val="34"/>
    <w:qFormat/>
    <w:rsid w:val="00BA2636"/>
    <w:pPr>
      <w:ind w:left="720"/>
      <w:contextualSpacing/>
    </w:pPr>
    <w:rPr>
      <w:rFonts w:cs="Mangal"/>
      <w:szCs w:val="20"/>
    </w:rPr>
  </w:style>
  <w:style w:type="paragraph" w:styleId="Footer">
    <w:name w:val="footer"/>
    <w:basedOn w:val="Normal"/>
    <w:link w:val="FooterChar"/>
    <w:uiPriority w:val="99"/>
    <w:unhideWhenUsed/>
    <w:rsid w:val="00D63451"/>
    <w:pPr>
      <w:tabs>
        <w:tab w:val="center" w:pos="4513"/>
        <w:tab w:val="right" w:pos="9026"/>
      </w:tabs>
    </w:pPr>
    <w:rPr>
      <w:rFonts w:cs="Mangal"/>
      <w:szCs w:val="20"/>
    </w:rPr>
  </w:style>
  <w:style w:type="character" w:customStyle="1" w:styleId="FooterChar">
    <w:name w:val="Footer Char"/>
    <w:basedOn w:val="DefaultParagraphFont"/>
    <w:link w:val="Footer"/>
    <w:uiPriority w:val="99"/>
    <w:rsid w:val="00D63451"/>
    <w:rPr>
      <w:rFonts w:cs="Mang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gov.uk/government/collections/government-conversion-factors-for-company-reportin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972951-E0B0-4A1E-91A7-BD10405D13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649</Words>
  <Characters>3860</Characters>
  <Application>Microsoft Office Word</Application>
  <DocSecurity>0</DocSecurity>
  <Lines>98</Lines>
  <Paragraphs>71</Paragraphs>
  <ScaleCrop>false</ScaleCrop>
  <Company/>
  <LinksUpToDate>false</LinksUpToDate>
  <CharactersWithSpaces>4438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Mears</dc:creator>
  <cp:lastModifiedBy>John Mears</cp:lastModifiedBy>
  <cp:revision>3</cp:revision>
  <dcterms:created xsi:type="dcterms:W3CDTF">2026-03-29T12:58:00Z</dcterms:created>
  <dcterms:modified xsi:type="dcterms:W3CDTF">2026-03-29T13:03:00Z</dcterms:modified>
</cp:coreProperties>
</file>